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5D1" w:rsidRDefault="00C105D1" w:rsidP="00C105D1">
      <w:pPr>
        <w:pStyle w:val="Titre5"/>
        <w:pBdr>
          <w:top w:val="single" w:sz="4" w:space="1" w:color="FF0000"/>
          <w:left w:val="single" w:sz="4" w:space="4" w:color="FF0000"/>
          <w:bottom w:val="single" w:sz="4" w:space="1" w:color="FF0000"/>
          <w:right w:val="single" w:sz="4" w:space="4" w:color="FF0000"/>
        </w:pBdr>
        <w:jc w:val="center"/>
        <w:rPr>
          <w:color w:val="FF0000"/>
          <w:u w:val="none"/>
        </w:rPr>
      </w:pPr>
      <w:r>
        <w:rPr>
          <w:color w:val="FF0000"/>
          <w:u w:val="none"/>
        </w:rPr>
        <w:t>Annexe 2. Convention de partenariat</w:t>
      </w:r>
    </w:p>
    <w:p w:rsidR="00C105D1" w:rsidRDefault="00C105D1" w:rsidP="00C105D1">
      <w:pPr>
        <w:tabs>
          <w:tab w:val="left" w:pos="1095"/>
        </w:tabs>
        <w:jc w:val="both"/>
        <w:rPr>
          <w:b/>
          <w:sz w:val="24"/>
          <w:szCs w:val="24"/>
          <w:u w:val="single"/>
        </w:rPr>
      </w:pPr>
    </w:p>
    <w:p w:rsidR="00C105D1" w:rsidRDefault="00C105D1" w:rsidP="00C105D1">
      <w:pPr>
        <w:spacing w:line="276" w:lineRule="auto"/>
        <w:jc w:val="center"/>
        <w:rPr>
          <w:rFonts w:ascii="Verdana" w:eastAsia="Times New Roman" w:hAnsi="Verdana" w:cstheme="minorHAnsi"/>
          <w:sz w:val="18"/>
          <w:szCs w:val="18"/>
          <w:lang w:eastAsia="fr-BE"/>
        </w:rPr>
      </w:pPr>
      <w:r>
        <w:rPr>
          <w:rFonts w:ascii="Verdana" w:eastAsia="Times New Roman" w:hAnsi="Verdana" w:cstheme="minorHAnsi"/>
          <w:sz w:val="18"/>
          <w:szCs w:val="18"/>
          <w:lang w:eastAsia="fr-BE"/>
        </w:rPr>
        <w:t>Décret du 7 février visant à l'accueil, la scolarisation et l’accompagnement des élèves qui ne maîtrisent pas la langue de l’enseignement dans l'enseignement organisé ou subventionné par la Communauté française</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La présente convention est à transmettre dûment complétée aux Services du Gouvernement pour le 15 octobre de l’année scolaire en cours : </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La présente convention est établie entre :</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1) L'école porteuse du </w:t>
      </w:r>
      <w:proofErr w:type="spellStart"/>
      <w:r>
        <w:rPr>
          <w:rFonts w:ascii="Verdana" w:eastAsia="Times New Roman" w:hAnsi="Verdana" w:cstheme="minorHAnsi"/>
          <w:sz w:val="18"/>
          <w:szCs w:val="18"/>
          <w:lang w:eastAsia="fr-BE"/>
        </w:rPr>
        <w:t>DASPA</w:t>
      </w:r>
      <w:proofErr w:type="spellEnd"/>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N° </w:t>
      </w:r>
      <w:proofErr w:type="spellStart"/>
      <w:r>
        <w:rPr>
          <w:rFonts w:ascii="Verdana" w:eastAsia="Times New Roman" w:hAnsi="Verdana" w:cstheme="minorHAnsi"/>
          <w:sz w:val="18"/>
          <w:szCs w:val="18"/>
          <w:lang w:eastAsia="fr-BE"/>
        </w:rPr>
        <w:t>FASE</w:t>
      </w:r>
      <w:proofErr w:type="spellEnd"/>
      <w:r>
        <w:rPr>
          <w:rFonts w:ascii="Verdana" w:eastAsia="Times New Roman" w:hAnsi="Verdana" w:cstheme="minorHAnsi"/>
          <w:sz w:val="18"/>
          <w:szCs w:val="18"/>
          <w:lang w:eastAsia="fr-BE"/>
        </w:rPr>
        <w:t xml:space="preserve"> de l'école porteuse </w:t>
      </w:r>
      <w:proofErr w:type="spellStart"/>
      <w:r>
        <w:rPr>
          <w:rFonts w:ascii="Verdana" w:eastAsia="Times New Roman" w:hAnsi="Verdana" w:cstheme="minorHAnsi"/>
          <w:sz w:val="18"/>
          <w:szCs w:val="18"/>
          <w:lang w:eastAsia="fr-BE"/>
        </w:rPr>
        <w:t>DASPA</w:t>
      </w:r>
      <w:proofErr w:type="spellEnd"/>
      <w:r>
        <w:rPr>
          <w:rFonts w:ascii="Verdana" w:eastAsia="Times New Roman" w:hAnsi="Verdana" w:cstheme="minorHAnsi"/>
          <w:sz w:val="18"/>
          <w:szCs w:val="18"/>
          <w:lang w:eastAsia="fr-BE"/>
        </w:rPr>
        <w:t>:</w:t>
      </w: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NOM DE L'ECOLE :</w:t>
      </w: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ADRESSE :</w:t>
      </w: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Tél. : </w:t>
      </w: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Nom et prénom de la Direction :</w:t>
      </w: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N° </w:t>
      </w:r>
      <w:proofErr w:type="spellStart"/>
      <w:r>
        <w:rPr>
          <w:rFonts w:ascii="Verdana" w:eastAsia="Times New Roman" w:hAnsi="Verdana" w:cstheme="minorHAnsi"/>
          <w:sz w:val="18"/>
          <w:szCs w:val="18"/>
          <w:lang w:eastAsia="fr-BE"/>
        </w:rPr>
        <w:t>FASE</w:t>
      </w:r>
      <w:proofErr w:type="spellEnd"/>
      <w:r>
        <w:rPr>
          <w:rFonts w:ascii="Verdana" w:eastAsia="Times New Roman" w:hAnsi="Verdana" w:cstheme="minorHAnsi"/>
          <w:sz w:val="18"/>
          <w:szCs w:val="18"/>
          <w:lang w:eastAsia="fr-BE"/>
        </w:rPr>
        <w:t xml:space="preserve"> du Pouvoir organisateur</w:t>
      </w: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Ci-après désigné comme école porteuse </w:t>
      </w:r>
      <w:proofErr w:type="spellStart"/>
      <w:r>
        <w:rPr>
          <w:rFonts w:ascii="Verdana" w:eastAsia="Times New Roman" w:hAnsi="Verdana" w:cstheme="minorHAnsi"/>
          <w:sz w:val="18"/>
          <w:szCs w:val="18"/>
          <w:lang w:eastAsia="fr-BE"/>
        </w:rPr>
        <w:t>DASPA</w:t>
      </w:r>
      <w:proofErr w:type="spellEnd"/>
      <w:r>
        <w:rPr>
          <w:rFonts w:ascii="Verdana" w:eastAsia="Times New Roman" w:hAnsi="Verdana" w:cstheme="minorHAnsi"/>
          <w:sz w:val="18"/>
          <w:szCs w:val="18"/>
          <w:lang w:eastAsia="fr-BE"/>
        </w:rPr>
        <w:t>.</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2) L'(Les) école(s) partenaire(s)qui collabore(nt) avec l'école porteuse </w:t>
      </w:r>
      <w:proofErr w:type="spellStart"/>
      <w:r>
        <w:rPr>
          <w:rFonts w:ascii="Verdana" w:eastAsia="Times New Roman" w:hAnsi="Verdana" w:cstheme="minorHAnsi"/>
          <w:sz w:val="18"/>
          <w:szCs w:val="18"/>
          <w:lang w:eastAsia="fr-BE"/>
        </w:rPr>
        <w:t>DASPA</w:t>
      </w:r>
      <w:proofErr w:type="spellEnd"/>
      <w:r>
        <w:rPr>
          <w:rFonts w:ascii="Verdana" w:eastAsia="Times New Roman" w:hAnsi="Verdana" w:cstheme="minorHAnsi"/>
          <w:sz w:val="18"/>
          <w:szCs w:val="18"/>
          <w:lang w:eastAsia="fr-BE"/>
        </w:rPr>
        <w:t xml:space="preserve"> repris au point 1;</w:t>
      </w: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N° </w:t>
      </w:r>
      <w:proofErr w:type="spellStart"/>
      <w:r>
        <w:rPr>
          <w:rFonts w:ascii="Verdana" w:eastAsia="Times New Roman" w:hAnsi="Verdana" w:cstheme="minorHAnsi"/>
          <w:sz w:val="18"/>
          <w:szCs w:val="18"/>
          <w:lang w:eastAsia="fr-BE"/>
        </w:rPr>
        <w:t>FASE</w:t>
      </w:r>
      <w:proofErr w:type="spellEnd"/>
      <w:r>
        <w:rPr>
          <w:rFonts w:ascii="Verdana" w:eastAsia="Times New Roman" w:hAnsi="Verdana" w:cstheme="minorHAnsi"/>
          <w:sz w:val="18"/>
          <w:szCs w:val="18"/>
          <w:lang w:eastAsia="fr-BE"/>
        </w:rPr>
        <w:t xml:space="preserve"> de l'école partenaire 1 :</w:t>
      </w: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NOM DE L'</w:t>
      </w:r>
      <w:proofErr w:type="spellStart"/>
      <w:r>
        <w:rPr>
          <w:rFonts w:ascii="Verdana" w:eastAsia="Times New Roman" w:hAnsi="Verdana" w:cstheme="minorHAnsi"/>
          <w:sz w:val="18"/>
          <w:szCs w:val="18"/>
          <w:lang w:eastAsia="fr-BE"/>
        </w:rPr>
        <w:t>ETABLISSEMENT</w:t>
      </w:r>
      <w:proofErr w:type="spellEnd"/>
      <w:r>
        <w:rPr>
          <w:rFonts w:ascii="Verdana" w:eastAsia="Times New Roman" w:hAnsi="Verdana" w:cstheme="minorHAnsi"/>
          <w:sz w:val="18"/>
          <w:szCs w:val="18"/>
          <w:lang w:eastAsia="fr-BE"/>
        </w:rPr>
        <w:t xml:space="preserve"> :</w:t>
      </w: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ADRESSE </w:t>
      </w: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Tél. : </w:t>
      </w: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Nom et prénom de la Direction :</w:t>
      </w: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N° </w:t>
      </w:r>
      <w:proofErr w:type="spellStart"/>
      <w:r>
        <w:rPr>
          <w:rFonts w:ascii="Verdana" w:eastAsia="Times New Roman" w:hAnsi="Verdana" w:cstheme="minorHAnsi"/>
          <w:sz w:val="18"/>
          <w:szCs w:val="18"/>
          <w:lang w:eastAsia="fr-BE"/>
        </w:rPr>
        <w:t>FASE</w:t>
      </w:r>
      <w:proofErr w:type="spellEnd"/>
      <w:r>
        <w:rPr>
          <w:rFonts w:ascii="Verdana" w:eastAsia="Times New Roman" w:hAnsi="Verdana" w:cstheme="minorHAnsi"/>
          <w:sz w:val="18"/>
          <w:szCs w:val="18"/>
          <w:lang w:eastAsia="fr-BE"/>
        </w:rPr>
        <w:t xml:space="preserve"> du Pouvoir organisateur :  </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N° </w:t>
      </w:r>
      <w:proofErr w:type="spellStart"/>
      <w:r>
        <w:rPr>
          <w:rFonts w:ascii="Verdana" w:eastAsia="Times New Roman" w:hAnsi="Verdana" w:cstheme="minorHAnsi"/>
          <w:sz w:val="18"/>
          <w:szCs w:val="18"/>
          <w:lang w:eastAsia="fr-BE"/>
        </w:rPr>
        <w:t>FASE</w:t>
      </w:r>
      <w:proofErr w:type="spellEnd"/>
      <w:r>
        <w:rPr>
          <w:rFonts w:ascii="Verdana" w:eastAsia="Times New Roman" w:hAnsi="Verdana" w:cstheme="minorHAnsi"/>
          <w:sz w:val="18"/>
          <w:szCs w:val="18"/>
          <w:lang w:eastAsia="fr-BE"/>
        </w:rPr>
        <w:t xml:space="preserve"> de l'école partenaire 2 :</w:t>
      </w: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NOM DE L'</w:t>
      </w:r>
      <w:proofErr w:type="spellStart"/>
      <w:r>
        <w:rPr>
          <w:rFonts w:ascii="Verdana" w:eastAsia="Times New Roman" w:hAnsi="Verdana" w:cstheme="minorHAnsi"/>
          <w:sz w:val="18"/>
          <w:szCs w:val="18"/>
          <w:lang w:eastAsia="fr-BE"/>
        </w:rPr>
        <w:t>ETABLISSEMENT</w:t>
      </w:r>
      <w:proofErr w:type="spellEnd"/>
      <w:r>
        <w:rPr>
          <w:rFonts w:ascii="Verdana" w:eastAsia="Times New Roman" w:hAnsi="Verdana" w:cstheme="minorHAnsi"/>
          <w:sz w:val="18"/>
          <w:szCs w:val="18"/>
          <w:lang w:eastAsia="fr-BE"/>
        </w:rPr>
        <w:t xml:space="preserve"> :</w:t>
      </w: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ADRESSE :</w:t>
      </w: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Tél. : </w:t>
      </w: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Nom et prénom de la Direction :</w:t>
      </w: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N° </w:t>
      </w:r>
      <w:proofErr w:type="spellStart"/>
      <w:r>
        <w:rPr>
          <w:rFonts w:ascii="Verdana" w:eastAsia="Times New Roman" w:hAnsi="Verdana" w:cstheme="minorHAnsi"/>
          <w:sz w:val="18"/>
          <w:szCs w:val="18"/>
          <w:lang w:eastAsia="fr-BE"/>
        </w:rPr>
        <w:t>FASE</w:t>
      </w:r>
      <w:proofErr w:type="spellEnd"/>
      <w:r>
        <w:rPr>
          <w:rFonts w:ascii="Verdana" w:eastAsia="Times New Roman" w:hAnsi="Verdana" w:cstheme="minorHAnsi"/>
          <w:sz w:val="18"/>
          <w:szCs w:val="18"/>
          <w:lang w:eastAsia="fr-BE"/>
        </w:rPr>
        <w:t xml:space="preserve"> du Pouvoir organisateur :</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N° </w:t>
      </w:r>
      <w:proofErr w:type="spellStart"/>
      <w:r>
        <w:rPr>
          <w:rFonts w:ascii="Verdana" w:eastAsia="Times New Roman" w:hAnsi="Verdana" w:cstheme="minorHAnsi"/>
          <w:sz w:val="18"/>
          <w:szCs w:val="18"/>
          <w:lang w:eastAsia="fr-BE"/>
        </w:rPr>
        <w:t>FASE</w:t>
      </w:r>
      <w:proofErr w:type="spellEnd"/>
      <w:r>
        <w:rPr>
          <w:rFonts w:ascii="Verdana" w:eastAsia="Times New Roman" w:hAnsi="Verdana" w:cstheme="minorHAnsi"/>
          <w:sz w:val="18"/>
          <w:szCs w:val="18"/>
          <w:lang w:eastAsia="fr-BE"/>
        </w:rPr>
        <w:t xml:space="preserve"> de l’école partenaire XX :…..</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proofErr w:type="gramStart"/>
      <w:r>
        <w:rPr>
          <w:rFonts w:ascii="Verdana" w:eastAsia="Times New Roman" w:hAnsi="Verdana" w:cstheme="minorHAnsi"/>
          <w:sz w:val="18"/>
          <w:szCs w:val="18"/>
          <w:lang w:eastAsia="fr-BE"/>
        </w:rPr>
        <w:t>ci-après</w:t>
      </w:r>
      <w:proofErr w:type="gramEnd"/>
      <w:r>
        <w:rPr>
          <w:rFonts w:ascii="Verdana" w:eastAsia="Times New Roman" w:hAnsi="Verdana" w:cstheme="minorHAnsi"/>
          <w:sz w:val="18"/>
          <w:szCs w:val="18"/>
          <w:lang w:eastAsia="fr-BE"/>
        </w:rPr>
        <w:t xml:space="preserve"> désignée(s) comme école(s) partenaire(s).</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proofErr w:type="spellStart"/>
      <w:r>
        <w:rPr>
          <w:rFonts w:ascii="Verdana" w:eastAsia="Times New Roman" w:hAnsi="Verdana" w:cstheme="minorHAnsi"/>
          <w:sz w:val="18"/>
          <w:szCs w:val="18"/>
          <w:lang w:eastAsia="fr-BE"/>
        </w:rPr>
        <w:t>CONSIDERANT</w:t>
      </w:r>
      <w:proofErr w:type="spellEnd"/>
      <w:r>
        <w:rPr>
          <w:rFonts w:ascii="Verdana" w:eastAsia="Times New Roman" w:hAnsi="Verdana" w:cstheme="minorHAnsi"/>
          <w:sz w:val="18"/>
          <w:szCs w:val="18"/>
          <w:lang w:eastAsia="fr-BE"/>
        </w:rPr>
        <w:t xml:space="preserve"> QUE :</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Le décret du 7 février 2019 visant à l'accueil, la scolarisation et l’accompagnement des élèves qui ne maîtrisent pas la langue de l’enseignement dans l'enseignement organisé ou subventionné par la Communauté française prévoit, dans son article 19, la possibilité pour une </w:t>
      </w:r>
      <w:proofErr w:type="spellStart"/>
      <w:r>
        <w:rPr>
          <w:rFonts w:ascii="Verdana" w:eastAsia="Times New Roman" w:hAnsi="Verdana" w:cstheme="minorHAnsi"/>
          <w:sz w:val="18"/>
          <w:szCs w:val="18"/>
          <w:lang w:eastAsia="fr-BE"/>
        </w:rPr>
        <w:t>ee</w:t>
      </w:r>
      <w:proofErr w:type="spellEnd"/>
      <w:r>
        <w:rPr>
          <w:rFonts w:ascii="Verdana" w:eastAsia="Times New Roman" w:hAnsi="Verdana" w:cstheme="minorHAnsi"/>
          <w:sz w:val="18"/>
          <w:szCs w:val="18"/>
          <w:lang w:eastAsia="fr-BE"/>
        </w:rPr>
        <w:t xml:space="preserve"> école porteuse </w:t>
      </w:r>
      <w:proofErr w:type="spellStart"/>
      <w:r>
        <w:rPr>
          <w:rFonts w:ascii="Verdana" w:eastAsia="Times New Roman" w:hAnsi="Verdana" w:cstheme="minorHAnsi"/>
          <w:sz w:val="18"/>
          <w:szCs w:val="18"/>
          <w:lang w:eastAsia="fr-BE"/>
        </w:rPr>
        <w:t>DASPA</w:t>
      </w:r>
      <w:proofErr w:type="spellEnd"/>
      <w:r>
        <w:rPr>
          <w:rFonts w:ascii="Verdana" w:eastAsia="Times New Roman" w:hAnsi="Verdana" w:cstheme="minorHAnsi"/>
          <w:sz w:val="18"/>
          <w:szCs w:val="18"/>
          <w:lang w:eastAsia="fr-BE"/>
        </w:rPr>
        <w:t xml:space="preserve"> d'établir une convention de partenariat avec d'autres écoles  permettant:  </w:t>
      </w: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1) l’échange de pratiques et d’outils pédagogiques ainsi que l’organisation de la concertation entre enseignants en charge des élèves primo-arrivants ou assimilés ;  </w:t>
      </w: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2) la mutualisation et l’optimalisation des moyens d’encadrement prévus aux articles 5§§ 2 et 3, 6§§ 2 et 3 du décret du 7 février 2019 pour favoriser l’intégration de l’élève primo-arrivant ou assimilé dans une année d’études pour l’enseignement secondaire, ou une classe d’âge pour l’enseignement fondamental.</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Conformément à l’article 19 §3 du décret du 7 février 2019, chaque école partenaire ne peut conclure qu’un seul et unique partenariat avec une école organisant un </w:t>
      </w:r>
      <w:proofErr w:type="spellStart"/>
      <w:r>
        <w:rPr>
          <w:rFonts w:ascii="Verdana" w:eastAsia="Times New Roman" w:hAnsi="Verdana" w:cstheme="minorHAnsi"/>
          <w:sz w:val="18"/>
          <w:szCs w:val="18"/>
          <w:lang w:eastAsia="fr-BE"/>
        </w:rPr>
        <w:t>DASPA</w:t>
      </w:r>
      <w:proofErr w:type="spellEnd"/>
      <w:r>
        <w:rPr>
          <w:rFonts w:ascii="Verdana" w:eastAsia="Times New Roman" w:hAnsi="Verdana" w:cstheme="minorHAnsi"/>
          <w:sz w:val="18"/>
          <w:szCs w:val="18"/>
          <w:lang w:eastAsia="fr-BE"/>
        </w:rPr>
        <w:t>.</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Il est convenu ce qui suit :</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pBdr>
          <w:top w:val="single" w:sz="4" w:space="1" w:color="auto"/>
          <w:left w:val="single" w:sz="4" w:space="4" w:color="auto"/>
          <w:bottom w:val="single" w:sz="4" w:space="1" w:color="auto"/>
          <w:right w:val="single" w:sz="4" w:space="4" w:color="auto"/>
        </w:pBd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Article 1</w:t>
      </w:r>
      <w:r>
        <w:rPr>
          <w:rFonts w:ascii="Verdana" w:eastAsia="Times New Roman" w:hAnsi="Verdana" w:cstheme="minorHAnsi"/>
          <w:sz w:val="18"/>
          <w:szCs w:val="18"/>
          <w:vertAlign w:val="superscript"/>
          <w:lang w:eastAsia="fr-BE"/>
        </w:rPr>
        <w:t>er</w:t>
      </w:r>
      <w:r>
        <w:rPr>
          <w:rFonts w:ascii="Verdana" w:eastAsia="Times New Roman" w:hAnsi="Verdana" w:cstheme="minorHAnsi"/>
          <w:sz w:val="18"/>
          <w:szCs w:val="18"/>
          <w:lang w:eastAsia="fr-BE"/>
        </w:rPr>
        <w:t xml:space="preserve"> : Objet de la convention</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La présente convention a pour objet la collaboration entre une école porteuse du </w:t>
      </w:r>
      <w:proofErr w:type="spellStart"/>
      <w:r>
        <w:rPr>
          <w:rFonts w:ascii="Verdana" w:eastAsia="Times New Roman" w:hAnsi="Verdana" w:cstheme="minorHAnsi"/>
          <w:sz w:val="18"/>
          <w:szCs w:val="18"/>
          <w:lang w:eastAsia="fr-BE"/>
        </w:rPr>
        <w:t>DASPA</w:t>
      </w:r>
      <w:proofErr w:type="spellEnd"/>
      <w:r>
        <w:rPr>
          <w:rFonts w:ascii="Verdana" w:eastAsia="Times New Roman" w:hAnsi="Verdana" w:cstheme="minorHAnsi"/>
          <w:sz w:val="18"/>
          <w:szCs w:val="18"/>
          <w:lang w:eastAsia="fr-BE"/>
        </w:rPr>
        <w:t xml:space="preserve"> et d’autre(s) école(s) partenaire(s), conformément aux articles 19 et 20 du décret du 7 février 2019. </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Le </w:t>
      </w:r>
      <w:proofErr w:type="spellStart"/>
      <w:r>
        <w:rPr>
          <w:rFonts w:ascii="Verdana" w:eastAsia="Times New Roman" w:hAnsi="Verdana" w:cstheme="minorHAnsi"/>
          <w:sz w:val="18"/>
          <w:szCs w:val="18"/>
          <w:lang w:eastAsia="fr-BE"/>
        </w:rPr>
        <w:t>DASPA</w:t>
      </w:r>
      <w:proofErr w:type="spellEnd"/>
      <w:r>
        <w:rPr>
          <w:rFonts w:ascii="Verdana" w:eastAsia="Times New Roman" w:hAnsi="Verdana" w:cstheme="minorHAnsi"/>
          <w:sz w:val="18"/>
          <w:szCs w:val="18"/>
          <w:lang w:eastAsia="fr-BE"/>
        </w:rPr>
        <w:t xml:space="preserve"> est une structure d'enseignement visant à répondre aux objectifs suivants :</w:t>
      </w:r>
    </w:p>
    <w:p w:rsidR="00C105D1" w:rsidRDefault="00C105D1" w:rsidP="00C105D1">
      <w:pPr>
        <w:numPr>
          <w:ilvl w:val="0"/>
          <w:numId w:val="1"/>
        </w:numPr>
        <w:spacing w:after="200" w:line="276" w:lineRule="auto"/>
        <w:contextualSpacing/>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Assurer l'accueil, l'orientation et l'insertion des élèves primo-arrivants et assimilés dans le système éducatif de la Communauté française ;</w:t>
      </w:r>
    </w:p>
    <w:p w:rsidR="00C105D1" w:rsidRDefault="00C105D1" w:rsidP="00C105D1">
      <w:pPr>
        <w:numPr>
          <w:ilvl w:val="0"/>
          <w:numId w:val="1"/>
        </w:numPr>
        <w:spacing w:after="200" w:line="276" w:lineRule="auto"/>
        <w:contextualSpacing/>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Proposer un accompagnement scolaire et pédagogique adapté aux profils d'enseignement des élèves primo-arrivants et assimilés et lié aux difficultés relatives à la maitrise de la langue de l’enseignement et de la culture scolaire notamment en octroyant des périodes d’apprentissage de la langue de l’enseignement ;</w:t>
      </w:r>
    </w:p>
    <w:p w:rsidR="00C105D1" w:rsidRDefault="00C105D1" w:rsidP="00C105D1">
      <w:pPr>
        <w:numPr>
          <w:ilvl w:val="0"/>
          <w:numId w:val="1"/>
        </w:numPr>
        <w:spacing w:after="200" w:line="276" w:lineRule="auto"/>
        <w:contextualSpacing/>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Pour une durée déterminée, proposer une étape de scolarisation intermédiaire accompagnée d’une intégration progressive avant son insertion, à terme, dans une année d’études.</w:t>
      </w:r>
    </w:p>
    <w:p w:rsidR="00C105D1" w:rsidRDefault="00C105D1" w:rsidP="00C105D1">
      <w:pPr>
        <w:spacing w:line="276" w:lineRule="auto"/>
        <w:ind w:left="720"/>
        <w:contextualSpacing/>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pBdr>
          <w:top w:val="single" w:sz="4" w:space="1" w:color="auto"/>
          <w:left w:val="single" w:sz="4" w:space="4" w:color="auto"/>
          <w:bottom w:val="single" w:sz="4" w:space="1" w:color="auto"/>
          <w:right w:val="single" w:sz="4" w:space="4" w:color="auto"/>
        </w:pBd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Article 2 : Adaptation du plan de pilotage et du projet d’établissement</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L'école porteuse </w:t>
      </w:r>
      <w:proofErr w:type="spellStart"/>
      <w:r>
        <w:rPr>
          <w:rFonts w:ascii="Verdana" w:eastAsia="Times New Roman" w:hAnsi="Verdana" w:cstheme="minorHAnsi"/>
          <w:sz w:val="18"/>
          <w:szCs w:val="18"/>
          <w:lang w:eastAsia="fr-BE"/>
        </w:rPr>
        <w:t>DASPA</w:t>
      </w:r>
      <w:proofErr w:type="spellEnd"/>
      <w:r>
        <w:rPr>
          <w:rFonts w:ascii="Verdana" w:eastAsia="Times New Roman" w:hAnsi="Verdana" w:cstheme="minorHAnsi"/>
          <w:sz w:val="18"/>
          <w:szCs w:val="18"/>
          <w:lang w:eastAsia="fr-BE"/>
        </w:rPr>
        <w:t xml:space="preserve"> et l'(les) écoles (s) partenaire(s) veilleront à adapter leur projet d'établissement aux objectifs du </w:t>
      </w:r>
      <w:proofErr w:type="spellStart"/>
      <w:r>
        <w:rPr>
          <w:rFonts w:ascii="Verdana" w:eastAsia="Times New Roman" w:hAnsi="Verdana" w:cstheme="minorHAnsi"/>
          <w:sz w:val="18"/>
          <w:szCs w:val="18"/>
          <w:lang w:eastAsia="fr-BE"/>
        </w:rPr>
        <w:t>DASPA</w:t>
      </w:r>
      <w:proofErr w:type="spellEnd"/>
      <w:r>
        <w:rPr>
          <w:rFonts w:ascii="Verdana" w:eastAsia="Times New Roman" w:hAnsi="Verdana" w:cstheme="minorHAnsi"/>
          <w:sz w:val="18"/>
          <w:szCs w:val="18"/>
          <w:lang w:eastAsia="fr-BE"/>
        </w:rPr>
        <w:t xml:space="preserve">, repris plus haut. </w:t>
      </w: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L’école porteuse </w:t>
      </w:r>
      <w:proofErr w:type="spellStart"/>
      <w:r>
        <w:rPr>
          <w:rFonts w:ascii="Verdana" w:eastAsia="Times New Roman" w:hAnsi="Verdana" w:cstheme="minorHAnsi"/>
          <w:sz w:val="18"/>
          <w:szCs w:val="18"/>
          <w:lang w:eastAsia="fr-BE"/>
        </w:rPr>
        <w:t>DASPA</w:t>
      </w:r>
      <w:proofErr w:type="spellEnd"/>
      <w:r>
        <w:rPr>
          <w:rFonts w:ascii="Verdana" w:eastAsia="Times New Roman" w:hAnsi="Verdana" w:cstheme="minorHAnsi"/>
          <w:sz w:val="18"/>
          <w:szCs w:val="18"/>
          <w:lang w:eastAsia="fr-BE"/>
        </w:rPr>
        <w:t xml:space="preserve"> et l’(les) école(s) partenaire(s) veilleront à adapter leur plan de pilotage aux objectifs du </w:t>
      </w:r>
      <w:proofErr w:type="spellStart"/>
      <w:r>
        <w:rPr>
          <w:rFonts w:ascii="Verdana" w:eastAsia="Times New Roman" w:hAnsi="Verdana" w:cstheme="minorHAnsi"/>
          <w:sz w:val="18"/>
          <w:szCs w:val="18"/>
          <w:lang w:eastAsia="fr-BE"/>
        </w:rPr>
        <w:t>DASPA</w:t>
      </w:r>
      <w:proofErr w:type="spellEnd"/>
      <w:r>
        <w:rPr>
          <w:rFonts w:ascii="Verdana" w:eastAsia="Times New Roman" w:hAnsi="Verdana" w:cstheme="minorHAnsi"/>
          <w:sz w:val="18"/>
          <w:szCs w:val="18"/>
          <w:lang w:eastAsia="fr-BE"/>
        </w:rPr>
        <w:t>, repris plus haut conformément à la section première du Chapitre II du décret du 3 mai 2019 portant les livres 1</w:t>
      </w:r>
      <w:r>
        <w:rPr>
          <w:rFonts w:ascii="Verdana" w:eastAsia="Times New Roman" w:hAnsi="Verdana" w:cstheme="minorHAnsi"/>
          <w:sz w:val="18"/>
          <w:szCs w:val="18"/>
          <w:vertAlign w:val="superscript"/>
          <w:lang w:eastAsia="fr-BE"/>
        </w:rPr>
        <w:t>er</w:t>
      </w:r>
      <w:r>
        <w:rPr>
          <w:rFonts w:ascii="Verdana" w:eastAsia="Times New Roman" w:hAnsi="Verdana" w:cstheme="minorHAnsi"/>
          <w:sz w:val="18"/>
          <w:szCs w:val="18"/>
          <w:lang w:eastAsia="fr-BE"/>
        </w:rPr>
        <w:t xml:space="preserve"> et 2 du Code de l’enseignement fondamental et de l’enseignement secondaire, et mettant en place le tronc commun.   </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pBdr>
          <w:top w:val="single" w:sz="4" w:space="1" w:color="auto"/>
          <w:left w:val="single" w:sz="4" w:space="4" w:color="auto"/>
          <w:bottom w:val="single" w:sz="4" w:space="1" w:color="auto"/>
          <w:right w:val="single" w:sz="4" w:space="4" w:color="auto"/>
        </w:pBd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Article 3 : Gestion administrative de l’élève primo-arrivant et assimilé</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Tous les élèves primo-arrivants ou assimilés sont inscrits dans l’école où ils suivent tout ou la majeure partie de leur horaire. Dans l’enseignement secondaire, les conditions d’admission doivent être remplies dans l’école partenaire.  </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L’école où ces élèves primo-arrivants et assimilés sont inscrits assure le suivi de la fréquentation scolaire, et est habilitée à prendre les mesures nécessaires en cas d’absences injustifiées. </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Les membres de l’équipe éducative de l’ (des) écoles(s) partenaire(s) en charge des élèves qui fréquentent le </w:t>
      </w:r>
      <w:proofErr w:type="spellStart"/>
      <w:r>
        <w:rPr>
          <w:rFonts w:ascii="Verdana" w:eastAsia="Times New Roman" w:hAnsi="Verdana" w:cstheme="minorHAnsi"/>
          <w:sz w:val="18"/>
          <w:szCs w:val="18"/>
          <w:lang w:eastAsia="fr-BE"/>
        </w:rPr>
        <w:t>DASPA</w:t>
      </w:r>
      <w:proofErr w:type="spellEnd"/>
      <w:r>
        <w:rPr>
          <w:rFonts w:ascii="Verdana" w:eastAsia="Times New Roman" w:hAnsi="Verdana" w:cstheme="minorHAnsi"/>
          <w:sz w:val="18"/>
          <w:szCs w:val="18"/>
          <w:lang w:eastAsia="fr-BE"/>
        </w:rPr>
        <w:t xml:space="preserve"> font partie du conseil d'intégration.</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pBdr>
          <w:top w:val="single" w:sz="4" w:space="1" w:color="auto"/>
          <w:left w:val="single" w:sz="4" w:space="4" w:color="auto"/>
          <w:bottom w:val="single" w:sz="4" w:space="1" w:color="auto"/>
          <w:right w:val="single" w:sz="4" w:space="4" w:color="auto"/>
        </w:pBd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Article 4 : Calcul et critères généraux de répartition des périodes complémentaires et des périodes </w:t>
      </w:r>
      <w:proofErr w:type="spellStart"/>
      <w:r>
        <w:rPr>
          <w:rFonts w:ascii="Verdana" w:eastAsia="Times New Roman" w:hAnsi="Verdana" w:cstheme="minorHAnsi"/>
          <w:sz w:val="18"/>
          <w:szCs w:val="18"/>
          <w:lang w:eastAsia="fr-BE"/>
        </w:rPr>
        <w:t>DASPA</w:t>
      </w:r>
      <w:proofErr w:type="spellEnd"/>
      <w:r>
        <w:rPr>
          <w:rFonts w:ascii="Verdana" w:eastAsia="Times New Roman" w:hAnsi="Verdana" w:cstheme="minorHAnsi"/>
          <w:sz w:val="18"/>
          <w:szCs w:val="18"/>
          <w:lang w:eastAsia="fr-BE"/>
        </w:rPr>
        <w:t xml:space="preserve"> entre écoles</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1) Calcul de l’encadrement complémentaire et périodes </w:t>
      </w:r>
      <w:proofErr w:type="spellStart"/>
      <w:r>
        <w:rPr>
          <w:rFonts w:ascii="Verdana" w:eastAsia="Times New Roman" w:hAnsi="Verdana" w:cstheme="minorHAnsi"/>
          <w:sz w:val="18"/>
          <w:szCs w:val="18"/>
          <w:lang w:eastAsia="fr-BE"/>
        </w:rPr>
        <w:t>DASPA</w:t>
      </w:r>
      <w:proofErr w:type="spellEnd"/>
      <w:r>
        <w:rPr>
          <w:rFonts w:ascii="Verdana" w:eastAsia="Times New Roman" w:hAnsi="Verdana" w:cstheme="minorHAnsi"/>
          <w:sz w:val="18"/>
          <w:szCs w:val="18"/>
          <w:lang w:eastAsia="fr-BE"/>
        </w:rPr>
        <w:t xml:space="preserve"> </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L’encadrement complémentaire et les périodes </w:t>
      </w:r>
      <w:proofErr w:type="spellStart"/>
      <w:r>
        <w:rPr>
          <w:rFonts w:ascii="Verdana" w:eastAsia="Times New Roman" w:hAnsi="Verdana" w:cstheme="minorHAnsi"/>
          <w:sz w:val="18"/>
          <w:szCs w:val="18"/>
          <w:lang w:eastAsia="fr-BE"/>
        </w:rPr>
        <w:t>DASPA</w:t>
      </w:r>
      <w:proofErr w:type="spellEnd"/>
      <w:r>
        <w:rPr>
          <w:rFonts w:ascii="Verdana" w:eastAsia="Times New Roman" w:hAnsi="Verdana" w:cstheme="minorHAnsi"/>
          <w:sz w:val="18"/>
          <w:szCs w:val="18"/>
          <w:lang w:eastAsia="fr-BE"/>
        </w:rPr>
        <w:t xml:space="preserve"> sont calculés à partir du nombre d’élèves primo-arrivants et assimilés inscrits dans l’école porteuse du </w:t>
      </w:r>
      <w:proofErr w:type="spellStart"/>
      <w:r>
        <w:rPr>
          <w:rFonts w:ascii="Verdana" w:eastAsia="Times New Roman" w:hAnsi="Verdana" w:cstheme="minorHAnsi"/>
          <w:sz w:val="18"/>
          <w:szCs w:val="18"/>
          <w:lang w:eastAsia="fr-BE"/>
        </w:rPr>
        <w:t>DASPA</w:t>
      </w:r>
      <w:proofErr w:type="spellEnd"/>
      <w:r>
        <w:rPr>
          <w:rFonts w:ascii="Verdana" w:eastAsia="Times New Roman" w:hAnsi="Verdana" w:cstheme="minorHAnsi"/>
          <w:sz w:val="18"/>
          <w:szCs w:val="18"/>
          <w:lang w:eastAsia="fr-BE"/>
        </w:rPr>
        <w:t xml:space="preserve"> et dans les écoles partenaires. </w:t>
      </w: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Pour le calcul de ces périodes, les élèves primo-arrivants et les élèves assimilés aux primo-arrivants des différentes écoles partenaires sont tous comptabilisés au sein de l’école porteuse </w:t>
      </w:r>
      <w:proofErr w:type="spellStart"/>
      <w:r>
        <w:rPr>
          <w:rFonts w:ascii="Verdana" w:eastAsia="Times New Roman" w:hAnsi="Verdana" w:cstheme="minorHAnsi"/>
          <w:sz w:val="18"/>
          <w:szCs w:val="18"/>
          <w:lang w:eastAsia="fr-BE"/>
        </w:rPr>
        <w:t>DASPA</w:t>
      </w:r>
      <w:proofErr w:type="spellEnd"/>
      <w:r>
        <w:rPr>
          <w:rFonts w:ascii="Verdana" w:eastAsia="Times New Roman" w:hAnsi="Verdana" w:cstheme="minorHAnsi"/>
          <w:sz w:val="18"/>
          <w:szCs w:val="18"/>
          <w:lang w:eastAsia="fr-BE"/>
        </w:rPr>
        <w:t xml:space="preserve">. </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lastRenderedPageBreak/>
        <w:t>Conformément à l’alinéa 1</w:t>
      </w:r>
      <w:r>
        <w:rPr>
          <w:rFonts w:ascii="Verdana" w:eastAsia="Times New Roman" w:hAnsi="Verdana" w:cstheme="minorHAnsi"/>
          <w:sz w:val="18"/>
          <w:szCs w:val="18"/>
          <w:vertAlign w:val="superscript"/>
          <w:lang w:eastAsia="fr-BE"/>
        </w:rPr>
        <w:t>er</w:t>
      </w:r>
      <w:r>
        <w:rPr>
          <w:rFonts w:ascii="Verdana" w:eastAsia="Times New Roman" w:hAnsi="Verdana" w:cstheme="minorHAnsi"/>
          <w:sz w:val="18"/>
          <w:szCs w:val="18"/>
          <w:lang w:eastAsia="fr-BE"/>
        </w:rPr>
        <w:t xml:space="preserve"> de l’article 20 du décret du 7 février 2019 et afin d'assurer l'encadrement des élèves primo-arrivants ou assimilés inscrits dans un </w:t>
      </w:r>
      <w:proofErr w:type="spellStart"/>
      <w:r>
        <w:rPr>
          <w:rFonts w:ascii="Verdana" w:eastAsia="Times New Roman" w:hAnsi="Verdana" w:cstheme="minorHAnsi"/>
          <w:sz w:val="18"/>
          <w:szCs w:val="18"/>
          <w:lang w:eastAsia="fr-BE"/>
        </w:rPr>
        <w:t>DASPA</w:t>
      </w:r>
      <w:proofErr w:type="spellEnd"/>
      <w:r>
        <w:rPr>
          <w:rFonts w:ascii="Verdana" w:eastAsia="Times New Roman" w:hAnsi="Verdana" w:cstheme="minorHAnsi"/>
          <w:sz w:val="18"/>
          <w:szCs w:val="18"/>
          <w:lang w:eastAsia="fr-BE"/>
        </w:rPr>
        <w:t xml:space="preserve"> ou qui l’ont été l’année précédente et qui fréquentent une école partenaire, l'école porteuse du </w:t>
      </w:r>
      <w:proofErr w:type="spellStart"/>
      <w:r>
        <w:rPr>
          <w:rFonts w:ascii="Verdana" w:eastAsia="Times New Roman" w:hAnsi="Verdana" w:cstheme="minorHAnsi"/>
          <w:sz w:val="18"/>
          <w:szCs w:val="18"/>
          <w:lang w:eastAsia="fr-BE"/>
        </w:rPr>
        <w:t>DASPA</w:t>
      </w:r>
      <w:proofErr w:type="spellEnd"/>
      <w:r>
        <w:rPr>
          <w:rFonts w:ascii="Verdana" w:eastAsia="Times New Roman" w:hAnsi="Verdana" w:cstheme="minorHAnsi"/>
          <w:sz w:val="18"/>
          <w:szCs w:val="18"/>
          <w:lang w:eastAsia="fr-BE"/>
        </w:rPr>
        <w:t xml:space="preserve"> peut céder une part des périodes d’encadrement prévues aux articles 4, 5§§ 2 et 3, 6§§ 2 et 3 à </w:t>
      </w:r>
      <w:proofErr w:type="gramStart"/>
      <w:r>
        <w:rPr>
          <w:rFonts w:ascii="Verdana" w:eastAsia="Times New Roman" w:hAnsi="Verdana" w:cstheme="minorHAnsi"/>
          <w:sz w:val="18"/>
          <w:szCs w:val="18"/>
          <w:lang w:eastAsia="fr-BE"/>
        </w:rPr>
        <w:t>l'(</w:t>
      </w:r>
      <w:proofErr w:type="gramEnd"/>
      <w:r>
        <w:rPr>
          <w:rFonts w:ascii="Verdana" w:eastAsia="Times New Roman" w:hAnsi="Verdana" w:cstheme="minorHAnsi"/>
          <w:sz w:val="18"/>
          <w:szCs w:val="18"/>
          <w:lang w:eastAsia="fr-BE"/>
        </w:rPr>
        <w:t xml:space="preserve">aux) école(s) partenaire(s). </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2) Les critères généraux de répartition</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Les critères généraux de répartition sont fixés avant le 15 octobre de l’année scolaire en cours entre le Directeur de l'école porteuse </w:t>
      </w:r>
      <w:proofErr w:type="spellStart"/>
      <w:r>
        <w:rPr>
          <w:rFonts w:ascii="Verdana" w:eastAsia="Times New Roman" w:hAnsi="Verdana" w:cstheme="minorHAnsi"/>
          <w:sz w:val="18"/>
          <w:szCs w:val="18"/>
          <w:lang w:eastAsia="fr-BE"/>
        </w:rPr>
        <w:t>DASPA</w:t>
      </w:r>
      <w:proofErr w:type="spellEnd"/>
      <w:r>
        <w:rPr>
          <w:rFonts w:ascii="Verdana" w:eastAsia="Times New Roman" w:hAnsi="Verdana" w:cstheme="minorHAnsi"/>
          <w:sz w:val="18"/>
          <w:szCs w:val="18"/>
          <w:lang w:eastAsia="fr-BE"/>
        </w:rPr>
        <w:t xml:space="preserve"> et le(s) directeur(s) de </w:t>
      </w:r>
      <w:proofErr w:type="gramStart"/>
      <w:r>
        <w:rPr>
          <w:rFonts w:ascii="Verdana" w:eastAsia="Times New Roman" w:hAnsi="Verdana" w:cstheme="minorHAnsi"/>
          <w:sz w:val="18"/>
          <w:szCs w:val="18"/>
          <w:lang w:eastAsia="fr-BE"/>
        </w:rPr>
        <w:t>l’(</w:t>
      </w:r>
      <w:proofErr w:type="gramEnd"/>
      <w:r>
        <w:rPr>
          <w:rFonts w:ascii="Verdana" w:eastAsia="Times New Roman" w:hAnsi="Verdana" w:cstheme="minorHAnsi"/>
          <w:sz w:val="18"/>
          <w:szCs w:val="18"/>
          <w:lang w:eastAsia="fr-BE"/>
        </w:rPr>
        <w:t xml:space="preserve">des) école(s) partenaire(s). La répartition doit tenir compte notamment du nombre total de périodes générées par  les élèves primo-arrivants ou assimilés, du nombre respectif d'élèves primo-arrivants ou assimilés dans chacune des écoles, des enseignants à qui ces périodes sont attribuées et des cours que les élèves primo-arrivants ou assimilés suivent. </w:t>
      </w: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Les critères généraux de répartition des périodes entres les écoles retenus sont mentionnés ci-dessous : </w:t>
      </w:r>
    </w:p>
    <w:p w:rsidR="00C105D1" w:rsidRDefault="00C105D1" w:rsidP="00C105D1">
      <w:pPr>
        <w:numPr>
          <w:ilvl w:val="0"/>
          <w:numId w:val="2"/>
        </w:numPr>
        <w:spacing w:after="200" w:line="276" w:lineRule="auto"/>
        <w:contextualSpacing/>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w:t>
      </w:r>
    </w:p>
    <w:p w:rsidR="00C105D1" w:rsidRDefault="00C105D1" w:rsidP="00C105D1">
      <w:pPr>
        <w:numPr>
          <w:ilvl w:val="0"/>
          <w:numId w:val="2"/>
        </w:numPr>
        <w:spacing w:after="200" w:line="276" w:lineRule="auto"/>
        <w:contextualSpacing/>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w:t>
      </w:r>
    </w:p>
    <w:p w:rsidR="00C105D1" w:rsidRDefault="00C105D1" w:rsidP="00C105D1">
      <w:pPr>
        <w:numPr>
          <w:ilvl w:val="0"/>
          <w:numId w:val="2"/>
        </w:numPr>
        <w:spacing w:after="200" w:line="276" w:lineRule="auto"/>
        <w:contextualSpacing/>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La convention de partenariat, en ce compris les critères généraux de répartition, doit être transmise à l’Administration avant le 15 octobre de l’année scolaire visée. </w:t>
      </w:r>
      <w:proofErr w:type="spellStart"/>
      <w:r>
        <w:rPr>
          <w:rFonts w:ascii="Verdana" w:eastAsia="Times New Roman" w:hAnsi="Verdana" w:cstheme="minorHAnsi"/>
          <w:sz w:val="18"/>
          <w:szCs w:val="18"/>
          <w:lang w:eastAsia="fr-BE"/>
        </w:rPr>
        <w:t>A</w:t>
      </w:r>
      <w:proofErr w:type="spellEnd"/>
      <w:r>
        <w:rPr>
          <w:rFonts w:ascii="Verdana" w:eastAsia="Times New Roman" w:hAnsi="Verdana" w:cstheme="minorHAnsi"/>
          <w:sz w:val="18"/>
          <w:szCs w:val="18"/>
          <w:lang w:eastAsia="fr-BE"/>
        </w:rPr>
        <w:t xml:space="preserve"> défaut, elle ne pourra être prise en compte, conformément à l’article 15 du présent arrêté. </w:t>
      </w: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Sur base du calcul du 1</w:t>
      </w:r>
      <w:r>
        <w:rPr>
          <w:rFonts w:ascii="Verdana" w:eastAsia="Times New Roman" w:hAnsi="Verdana" w:cstheme="minorHAnsi"/>
          <w:sz w:val="18"/>
          <w:szCs w:val="18"/>
          <w:vertAlign w:val="superscript"/>
          <w:lang w:eastAsia="fr-BE"/>
        </w:rPr>
        <w:t>er</w:t>
      </w:r>
      <w:r>
        <w:rPr>
          <w:rFonts w:ascii="Verdana" w:eastAsia="Times New Roman" w:hAnsi="Verdana" w:cstheme="minorHAnsi"/>
          <w:sz w:val="18"/>
          <w:szCs w:val="18"/>
          <w:lang w:eastAsia="fr-BE"/>
        </w:rPr>
        <w:t xml:space="preserve"> octobre et des critères généraux de répartition, l’école porteuse </w:t>
      </w:r>
      <w:proofErr w:type="spellStart"/>
      <w:r>
        <w:rPr>
          <w:rFonts w:ascii="Verdana" w:eastAsia="Times New Roman" w:hAnsi="Verdana" w:cstheme="minorHAnsi"/>
          <w:sz w:val="18"/>
          <w:szCs w:val="18"/>
          <w:lang w:eastAsia="fr-BE"/>
        </w:rPr>
        <w:t>DASPA</w:t>
      </w:r>
      <w:proofErr w:type="spellEnd"/>
      <w:r>
        <w:rPr>
          <w:rFonts w:ascii="Verdana" w:eastAsia="Times New Roman" w:hAnsi="Verdana" w:cstheme="minorHAnsi"/>
          <w:sz w:val="18"/>
          <w:szCs w:val="18"/>
          <w:lang w:eastAsia="fr-BE"/>
        </w:rPr>
        <w:t xml:space="preserve"> devra transmettre à l’Administration, également pour le 15 octobre au plus tard, la répartition des périodes complémentaires et des périodes </w:t>
      </w:r>
      <w:proofErr w:type="spellStart"/>
      <w:r>
        <w:rPr>
          <w:rFonts w:ascii="Verdana" w:eastAsia="Times New Roman" w:hAnsi="Verdana" w:cstheme="minorHAnsi"/>
          <w:sz w:val="18"/>
          <w:szCs w:val="18"/>
          <w:lang w:eastAsia="fr-BE"/>
        </w:rPr>
        <w:t>DASPA</w:t>
      </w:r>
      <w:proofErr w:type="spellEnd"/>
      <w:r>
        <w:rPr>
          <w:rFonts w:ascii="Verdana" w:eastAsia="Times New Roman" w:hAnsi="Verdana" w:cstheme="minorHAnsi"/>
          <w:sz w:val="18"/>
          <w:szCs w:val="18"/>
          <w:lang w:eastAsia="fr-BE"/>
        </w:rPr>
        <w:t xml:space="preserve"> qui lui reviennent ainsi qu’aux écoles partenaires dans le cadre du partenariat tel que repris dans la circulaire prévue dans le cadre du décret du 7 février 2019. </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La répartition de l’encadrement complémentaire et des périodes </w:t>
      </w:r>
      <w:proofErr w:type="spellStart"/>
      <w:r>
        <w:rPr>
          <w:rFonts w:ascii="Verdana" w:eastAsia="Times New Roman" w:hAnsi="Verdana" w:cstheme="minorHAnsi"/>
          <w:sz w:val="18"/>
          <w:szCs w:val="18"/>
          <w:lang w:eastAsia="fr-BE"/>
        </w:rPr>
        <w:t>DASPA</w:t>
      </w:r>
      <w:proofErr w:type="spellEnd"/>
      <w:r>
        <w:rPr>
          <w:rFonts w:ascii="Verdana" w:eastAsia="Times New Roman" w:hAnsi="Verdana" w:cstheme="minorHAnsi"/>
          <w:sz w:val="18"/>
          <w:szCs w:val="18"/>
          <w:lang w:eastAsia="fr-BE"/>
        </w:rPr>
        <w:t xml:space="preserve"> est valable du 1er octobre au 30 juin de l’année scolaire en cours. Deux ajustements restent possibles pour l’encadrement complémentaire : </w:t>
      </w:r>
    </w:p>
    <w:p w:rsidR="00C105D1" w:rsidRDefault="00C105D1" w:rsidP="00C105D1">
      <w:pPr>
        <w:numPr>
          <w:ilvl w:val="0"/>
          <w:numId w:val="3"/>
        </w:numPr>
        <w:spacing w:after="200" w:line="276" w:lineRule="auto"/>
        <w:contextualSpacing/>
        <w:jc w:val="both"/>
        <w:rPr>
          <w:rFonts w:ascii="Verdana" w:eastAsia="Times New Roman" w:hAnsi="Verdana" w:cstheme="minorHAnsi"/>
          <w:sz w:val="18"/>
          <w:szCs w:val="18"/>
          <w:lang w:eastAsia="fr-BE"/>
        </w:rPr>
      </w:pPr>
      <w:proofErr w:type="spellStart"/>
      <w:r>
        <w:rPr>
          <w:rFonts w:ascii="Verdana" w:eastAsia="Times New Roman" w:hAnsi="Verdana" w:cstheme="minorHAnsi"/>
          <w:sz w:val="18"/>
          <w:szCs w:val="18"/>
          <w:lang w:eastAsia="fr-BE"/>
        </w:rPr>
        <w:t>A</w:t>
      </w:r>
      <w:proofErr w:type="spellEnd"/>
      <w:r>
        <w:rPr>
          <w:rFonts w:ascii="Verdana" w:eastAsia="Times New Roman" w:hAnsi="Verdana" w:cstheme="minorHAnsi"/>
          <w:sz w:val="18"/>
          <w:szCs w:val="18"/>
          <w:lang w:eastAsia="fr-BE"/>
        </w:rPr>
        <w:t xml:space="preserve"> la hausse pour la période du 16 janvier au 30 juin </w:t>
      </w:r>
    </w:p>
    <w:p w:rsidR="00C105D1" w:rsidRDefault="00C105D1" w:rsidP="00C105D1">
      <w:pPr>
        <w:numPr>
          <w:ilvl w:val="0"/>
          <w:numId w:val="3"/>
        </w:numPr>
        <w:spacing w:after="200" w:line="276" w:lineRule="auto"/>
        <w:contextualSpacing/>
        <w:jc w:val="both"/>
        <w:rPr>
          <w:rFonts w:ascii="Verdana" w:eastAsia="Times New Roman" w:hAnsi="Verdana" w:cstheme="minorHAnsi"/>
          <w:sz w:val="18"/>
          <w:szCs w:val="18"/>
          <w:lang w:eastAsia="fr-BE"/>
        </w:rPr>
      </w:pPr>
      <w:proofErr w:type="spellStart"/>
      <w:r>
        <w:rPr>
          <w:rFonts w:ascii="Verdana" w:eastAsia="Times New Roman" w:hAnsi="Verdana" w:cstheme="minorHAnsi"/>
          <w:sz w:val="18"/>
          <w:szCs w:val="18"/>
          <w:lang w:eastAsia="fr-BE"/>
        </w:rPr>
        <w:t>A</w:t>
      </w:r>
      <w:proofErr w:type="spellEnd"/>
      <w:r>
        <w:rPr>
          <w:rFonts w:ascii="Verdana" w:eastAsia="Times New Roman" w:hAnsi="Verdana" w:cstheme="minorHAnsi"/>
          <w:sz w:val="18"/>
          <w:szCs w:val="18"/>
          <w:lang w:eastAsia="fr-BE"/>
        </w:rPr>
        <w:t xml:space="preserve"> la hausse ou à la baisse pour la période du 1</w:t>
      </w:r>
      <w:r>
        <w:rPr>
          <w:rFonts w:ascii="Verdana" w:eastAsia="Times New Roman" w:hAnsi="Verdana" w:cstheme="minorHAnsi"/>
          <w:sz w:val="18"/>
          <w:szCs w:val="18"/>
          <w:vertAlign w:val="superscript"/>
          <w:lang w:eastAsia="fr-BE"/>
        </w:rPr>
        <w:t>er</w:t>
      </w:r>
      <w:r>
        <w:rPr>
          <w:rFonts w:ascii="Verdana" w:eastAsia="Times New Roman" w:hAnsi="Verdana" w:cstheme="minorHAnsi"/>
          <w:sz w:val="18"/>
          <w:szCs w:val="18"/>
          <w:lang w:eastAsia="fr-BE"/>
        </w:rPr>
        <w:t xml:space="preserve"> au 30 septembre</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pBdr>
          <w:top w:val="single" w:sz="4" w:space="1" w:color="auto"/>
          <w:left w:val="single" w:sz="4" w:space="4" w:color="auto"/>
          <w:bottom w:val="single" w:sz="4" w:space="1" w:color="auto"/>
          <w:right w:val="single" w:sz="4" w:space="4" w:color="auto"/>
        </w:pBd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Article 5: Durée et modification </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La présente convention prend effet au........................................................ </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La convention est conclue pour une période de 2 ans, renouvelable. Les critères de répartition des périodes sont automatiquement renouvelés au bout d’un an sauf accord des parties en cas de modification ou de résiliation.  </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La  répartition des périodes fixée par la présente convention est calculée chaque année en fonction du nombre d’élèves primo-arrivants ou assimilés inscrits au 30 septembre de l’année scolaire en cours. </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Cette répartition ne pourra être modifiée ou résiliée entre le 1</w:t>
      </w:r>
      <w:r>
        <w:rPr>
          <w:rFonts w:ascii="Verdana" w:eastAsia="Times New Roman" w:hAnsi="Verdana" w:cstheme="minorHAnsi"/>
          <w:sz w:val="18"/>
          <w:szCs w:val="18"/>
          <w:vertAlign w:val="superscript"/>
          <w:lang w:eastAsia="fr-BE"/>
        </w:rPr>
        <w:t>er</w:t>
      </w:r>
      <w:r>
        <w:rPr>
          <w:rFonts w:ascii="Verdana" w:eastAsia="Times New Roman" w:hAnsi="Verdana" w:cstheme="minorHAnsi"/>
          <w:sz w:val="18"/>
          <w:szCs w:val="18"/>
          <w:lang w:eastAsia="fr-BE"/>
        </w:rPr>
        <w:t xml:space="preserve"> octobre et le 30 juin de l’année scolaire en cours sauf en cas d’accord des parties et doit être communiquée aux Services du Gouvernement. Deux ajustements sont possibles pour l’encadrement complémentaire : </w:t>
      </w:r>
    </w:p>
    <w:p w:rsidR="00C105D1" w:rsidRDefault="00C105D1" w:rsidP="00C105D1">
      <w:pPr>
        <w:numPr>
          <w:ilvl w:val="0"/>
          <w:numId w:val="4"/>
        </w:numPr>
        <w:spacing w:after="200" w:line="276" w:lineRule="auto"/>
        <w:contextualSpacing/>
        <w:jc w:val="both"/>
        <w:rPr>
          <w:rFonts w:ascii="Verdana" w:eastAsia="Times New Roman" w:hAnsi="Verdana" w:cstheme="minorHAnsi"/>
          <w:sz w:val="18"/>
          <w:szCs w:val="18"/>
          <w:lang w:eastAsia="fr-BE"/>
        </w:rPr>
      </w:pPr>
      <w:proofErr w:type="spellStart"/>
      <w:r>
        <w:rPr>
          <w:rFonts w:ascii="Verdana" w:eastAsia="Times New Roman" w:hAnsi="Verdana" w:cstheme="minorHAnsi"/>
          <w:sz w:val="18"/>
          <w:szCs w:val="18"/>
          <w:lang w:eastAsia="fr-BE"/>
        </w:rPr>
        <w:t>A</w:t>
      </w:r>
      <w:proofErr w:type="spellEnd"/>
      <w:r>
        <w:rPr>
          <w:rFonts w:ascii="Verdana" w:eastAsia="Times New Roman" w:hAnsi="Verdana" w:cstheme="minorHAnsi"/>
          <w:sz w:val="18"/>
          <w:szCs w:val="18"/>
          <w:lang w:eastAsia="fr-BE"/>
        </w:rPr>
        <w:t xml:space="preserve"> la hausse pour la période du 16 janvier au 30 juin </w:t>
      </w:r>
    </w:p>
    <w:p w:rsidR="00C105D1" w:rsidRDefault="00C105D1" w:rsidP="00C105D1">
      <w:pPr>
        <w:numPr>
          <w:ilvl w:val="0"/>
          <w:numId w:val="4"/>
        </w:numPr>
        <w:spacing w:after="200" w:line="276" w:lineRule="auto"/>
        <w:contextualSpacing/>
        <w:jc w:val="both"/>
        <w:rPr>
          <w:rFonts w:ascii="Verdana" w:eastAsia="Times New Roman" w:hAnsi="Verdana" w:cstheme="minorHAnsi"/>
          <w:sz w:val="18"/>
          <w:szCs w:val="18"/>
          <w:lang w:eastAsia="fr-BE"/>
        </w:rPr>
      </w:pPr>
      <w:proofErr w:type="spellStart"/>
      <w:r>
        <w:rPr>
          <w:rFonts w:ascii="Verdana" w:eastAsia="Times New Roman" w:hAnsi="Verdana" w:cstheme="minorHAnsi"/>
          <w:sz w:val="18"/>
          <w:szCs w:val="18"/>
          <w:lang w:eastAsia="fr-BE"/>
        </w:rPr>
        <w:t>A</w:t>
      </w:r>
      <w:proofErr w:type="spellEnd"/>
      <w:r>
        <w:rPr>
          <w:rFonts w:ascii="Verdana" w:eastAsia="Times New Roman" w:hAnsi="Verdana" w:cstheme="minorHAnsi"/>
          <w:sz w:val="18"/>
          <w:szCs w:val="18"/>
          <w:lang w:eastAsia="fr-BE"/>
        </w:rPr>
        <w:t xml:space="preserve"> la hausse ou à la baisse pour la période du 1er au 30 septembre</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Toute modification ou nouvelle convention de partenariat doit être adressée à l’Administration avant le 15 octobre de l’année scolaire visée. </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pBdr>
          <w:top w:val="single" w:sz="4" w:space="1" w:color="auto"/>
          <w:left w:val="single" w:sz="4" w:space="4" w:color="auto"/>
          <w:bottom w:val="single" w:sz="4" w:space="1" w:color="auto"/>
          <w:right w:val="single" w:sz="4" w:space="4" w:color="auto"/>
        </w:pBd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Article 6 : Disposition finale </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L’école porteuse </w:t>
      </w:r>
      <w:proofErr w:type="spellStart"/>
      <w:r>
        <w:rPr>
          <w:rFonts w:ascii="Verdana" w:eastAsia="Times New Roman" w:hAnsi="Verdana" w:cstheme="minorHAnsi"/>
          <w:sz w:val="18"/>
          <w:szCs w:val="18"/>
          <w:lang w:eastAsia="fr-BE"/>
        </w:rPr>
        <w:t>DASPA</w:t>
      </w:r>
      <w:proofErr w:type="spellEnd"/>
      <w:r>
        <w:rPr>
          <w:rFonts w:ascii="Verdana" w:eastAsia="Times New Roman" w:hAnsi="Verdana" w:cstheme="minorHAnsi"/>
          <w:sz w:val="18"/>
          <w:szCs w:val="18"/>
          <w:lang w:eastAsia="fr-BE"/>
        </w:rPr>
        <w:t xml:space="preserve"> et l’(les) école(s) partenaire(s) s’engagent à respecter les dispositions prévues par la loi du 30 juillet 2018  relative à la protection des personnes physiques à l’égard des traitements de données à caractère personnel.</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Fait à ................................................, le ...................................................</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Pour l'école porteuse </w:t>
      </w:r>
      <w:proofErr w:type="spellStart"/>
      <w:r>
        <w:rPr>
          <w:rFonts w:ascii="Verdana" w:eastAsia="Times New Roman" w:hAnsi="Verdana" w:cstheme="minorHAnsi"/>
          <w:sz w:val="18"/>
          <w:szCs w:val="18"/>
          <w:lang w:eastAsia="fr-BE"/>
        </w:rPr>
        <w:t>DASPA</w:t>
      </w:r>
      <w:proofErr w:type="spellEnd"/>
      <w:r>
        <w:rPr>
          <w:rFonts w:ascii="Verdana" w:eastAsia="Times New Roman" w:hAnsi="Verdana" w:cstheme="minorHAnsi"/>
          <w:sz w:val="18"/>
          <w:szCs w:val="18"/>
          <w:lang w:eastAsia="fr-BE"/>
        </w:rPr>
        <w:t xml:space="preserve">, </w:t>
      </w: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La Direction, </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Le délégué du pouvoir organisateur</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Pour l'école partenaire 1 </w:t>
      </w: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La Direction,</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Le délégué du pouvoir organisateur</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Pour l'école partenaire 2 </w:t>
      </w: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La Direction, </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Le délégué du pouvoir organisateur</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Pour l’école partenaire XX</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Avis de l’organe de concertation sociale : Favorable – Défavorable</w:t>
      </w: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Justifiez :</w:t>
      </w:r>
    </w:p>
    <w:p w:rsidR="00C105D1" w:rsidRDefault="00C105D1" w:rsidP="00C105D1">
      <w:pPr>
        <w:spacing w:line="276" w:lineRule="auto"/>
        <w:jc w:val="both"/>
        <w:rPr>
          <w:rFonts w:ascii="Verdana" w:eastAsia="Times New Roman" w:hAnsi="Verdana" w:cstheme="minorHAnsi"/>
          <w:sz w:val="18"/>
          <w:szCs w:val="18"/>
          <w:lang w:eastAsia="fr-BE"/>
        </w:rPr>
      </w:pP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Un exemplaire de la convention sera transmis à l'Administration à l'adresse suivante : Direction générale de l'Enseignement obligatoire,  Rue A. </w:t>
      </w:r>
      <w:proofErr w:type="spellStart"/>
      <w:r>
        <w:rPr>
          <w:rFonts w:ascii="Verdana" w:eastAsia="Times New Roman" w:hAnsi="Verdana" w:cstheme="minorHAnsi"/>
          <w:sz w:val="18"/>
          <w:szCs w:val="18"/>
          <w:lang w:eastAsia="fr-BE"/>
        </w:rPr>
        <w:t>Lavallée</w:t>
      </w:r>
      <w:proofErr w:type="spellEnd"/>
      <w:r>
        <w:rPr>
          <w:rFonts w:ascii="Verdana" w:eastAsia="Times New Roman" w:hAnsi="Verdana" w:cstheme="minorHAnsi"/>
          <w:sz w:val="18"/>
          <w:szCs w:val="18"/>
          <w:lang w:eastAsia="fr-BE"/>
        </w:rPr>
        <w:t>, 1</w:t>
      </w:r>
    </w:p>
    <w:p w:rsidR="00C105D1" w:rsidRDefault="00C105D1" w:rsidP="00C105D1">
      <w:pPr>
        <w:spacing w:line="276" w:lineRule="auto"/>
        <w:jc w:val="both"/>
        <w:rPr>
          <w:rFonts w:ascii="Verdana" w:eastAsia="Times New Roman" w:hAnsi="Verdana" w:cstheme="minorHAnsi"/>
          <w:sz w:val="18"/>
          <w:szCs w:val="18"/>
          <w:lang w:eastAsia="fr-BE"/>
        </w:rPr>
      </w:pPr>
      <w:r>
        <w:rPr>
          <w:rFonts w:ascii="Verdana" w:eastAsia="Times New Roman" w:hAnsi="Verdana" w:cstheme="minorHAnsi"/>
          <w:sz w:val="18"/>
          <w:szCs w:val="18"/>
          <w:lang w:eastAsia="fr-BE"/>
        </w:rPr>
        <w:t xml:space="preserve">1080 BRUXELLES </w:t>
      </w:r>
    </w:p>
    <w:p w:rsidR="00195574" w:rsidRDefault="00195574">
      <w:bookmarkStart w:id="0" w:name="_GoBack"/>
      <w:bookmarkEnd w:id="0"/>
    </w:p>
    <w:sectPr w:rsidR="001955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722AE6"/>
    <w:multiLevelType w:val="hybridMultilevel"/>
    <w:tmpl w:val="DDD85AFE"/>
    <w:lvl w:ilvl="0" w:tplc="080C000F">
      <w:start w:val="1"/>
      <w:numFmt w:val="decimal"/>
      <w:lvlText w:val="%1."/>
      <w:lvlJc w:val="left"/>
      <w:pPr>
        <w:ind w:left="870" w:hanging="360"/>
      </w:pPr>
    </w:lvl>
    <w:lvl w:ilvl="1" w:tplc="080C0019" w:tentative="1">
      <w:start w:val="1"/>
      <w:numFmt w:val="lowerLetter"/>
      <w:lvlText w:val="%2."/>
      <w:lvlJc w:val="left"/>
      <w:pPr>
        <w:ind w:left="1590" w:hanging="360"/>
      </w:pPr>
    </w:lvl>
    <w:lvl w:ilvl="2" w:tplc="080C001B" w:tentative="1">
      <w:start w:val="1"/>
      <w:numFmt w:val="lowerRoman"/>
      <w:lvlText w:val="%3."/>
      <w:lvlJc w:val="right"/>
      <w:pPr>
        <w:ind w:left="2310" w:hanging="180"/>
      </w:pPr>
    </w:lvl>
    <w:lvl w:ilvl="3" w:tplc="080C000F" w:tentative="1">
      <w:start w:val="1"/>
      <w:numFmt w:val="decimal"/>
      <w:lvlText w:val="%4."/>
      <w:lvlJc w:val="left"/>
      <w:pPr>
        <w:ind w:left="3030" w:hanging="360"/>
      </w:pPr>
    </w:lvl>
    <w:lvl w:ilvl="4" w:tplc="080C0019" w:tentative="1">
      <w:start w:val="1"/>
      <w:numFmt w:val="lowerLetter"/>
      <w:lvlText w:val="%5."/>
      <w:lvlJc w:val="left"/>
      <w:pPr>
        <w:ind w:left="3750" w:hanging="360"/>
      </w:pPr>
    </w:lvl>
    <w:lvl w:ilvl="5" w:tplc="080C001B" w:tentative="1">
      <w:start w:val="1"/>
      <w:numFmt w:val="lowerRoman"/>
      <w:lvlText w:val="%6."/>
      <w:lvlJc w:val="right"/>
      <w:pPr>
        <w:ind w:left="4470" w:hanging="180"/>
      </w:pPr>
    </w:lvl>
    <w:lvl w:ilvl="6" w:tplc="080C000F" w:tentative="1">
      <w:start w:val="1"/>
      <w:numFmt w:val="decimal"/>
      <w:lvlText w:val="%7."/>
      <w:lvlJc w:val="left"/>
      <w:pPr>
        <w:ind w:left="5190" w:hanging="360"/>
      </w:pPr>
    </w:lvl>
    <w:lvl w:ilvl="7" w:tplc="080C0019" w:tentative="1">
      <w:start w:val="1"/>
      <w:numFmt w:val="lowerLetter"/>
      <w:lvlText w:val="%8."/>
      <w:lvlJc w:val="left"/>
      <w:pPr>
        <w:ind w:left="5910" w:hanging="360"/>
      </w:pPr>
    </w:lvl>
    <w:lvl w:ilvl="8" w:tplc="080C001B" w:tentative="1">
      <w:start w:val="1"/>
      <w:numFmt w:val="lowerRoman"/>
      <w:lvlText w:val="%9."/>
      <w:lvlJc w:val="right"/>
      <w:pPr>
        <w:ind w:left="6630" w:hanging="180"/>
      </w:pPr>
    </w:lvl>
  </w:abstractNum>
  <w:abstractNum w:abstractNumId="1" w15:restartNumberingAfterBreak="0">
    <w:nsid w:val="2DAF57EA"/>
    <w:multiLevelType w:val="hybridMultilevel"/>
    <w:tmpl w:val="B52616B4"/>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44221E5C"/>
    <w:multiLevelType w:val="hybridMultilevel"/>
    <w:tmpl w:val="59F2219E"/>
    <w:lvl w:ilvl="0" w:tplc="26C25C68">
      <w:start w:val="4"/>
      <w:numFmt w:val="bullet"/>
      <w:lvlText w:val="-"/>
      <w:lvlJc w:val="left"/>
      <w:pPr>
        <w:ind w:left="720" w:hanging="360"/>
      </w:pPr>
      <w:rPr>
        <w:rFonts w:ascii="Calibri" w:eastAsiaTheme="minorEastAsia" w:hAnsi="Calibri" w:cs="Calibri" w:hint="default"/>
        <w:sz w:val="2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6D9C4F8D"/>
    <w:multiLevelType w:val="hybridMultilevel"/>
    <w:tmpl w:val="8C44742A"/>
    <w:lvl w:ilvl="0" w:tplc="26C25C68">
      <w:start w:val="4"/>
      <w:numFmt w:val="bullet"/>
      <w:lvlText w:val="-"/>
      <w:lvlJc w:val="left"/>
      <w:pPr>
        <w:ind w:left="720" w:hanging="360"/>
      </w:pPr>
      <w:rPr>
        <w:rFonts w:ascii="Calibri" w:eastAsiaTheme="minorEastAsia" w:hAnsi="Calibri" w:cs="Calibri" w:hint="default"/>
        <w:sz w:val="2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5D1"/>
    <w:rsid w:val="000332F3"/>
    <w:rsid w:val="00195574"/>
    <w:rsid w:val="005552DF"/>
    <w:rsid w:val="00C105D1"/>
    <w:rsid w:val="00F72B1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1ADA1C-8400-4685-9E12-69469A749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5D1"/>
  </w:style>
  <w:style w:type="paragraph" w:styleId="Titre1">
    <w:name w:val="heading 1"/>
    <w:basedOn w:val="Normal"/>
    <w:next w:val="Normal"/>
    <w:link w:val="Titre1Car"/>
    <w:autoRedefine/>
    <w:qFormat/>
    <w:rsid w:val="000332F3"/>
    <w:pPr>
      <w:keepNext/>
      <w:tabs>
        <w:tab w:val="left" w:pos="720"/>
        <w:tab w:val="left" w:pos="1440"/>
        <w:tab w:val="left" w:pos="1800"/>
      </w:tabs>
      <w:suppressAutoHyphens/>
      <w:spacing w:line="240" w:lineRule="auto"/>
      <w:contextualSpacing/>
      <w:jc w:val="center"/>
      <w:outlineLvl w:val="0"/>
    </w:pPr>
    <w:rPr>
      <w:rFonts w:ascii="Arial" w:eastAsia="Times New Roman" w:hAnsi="Arial" w:cs="Arial"/>
      <w:b/>
      <w:bCs/>
      <w:caps/>
      <w:kern w:val="32"/>
      <w:sz w:val="28"/>
      <w:szCs w:val="28"/>
      <w:lang w:val="fr-FR" w:eastAsia="fr-FR"/>
    </w:rPr>
  </w:style>
  <w:style w:type="paragraph" w:styleId="Titre2">
    <w:name w:val="heading 2"/>
    <w:basedOn w:val="Normal"/>
    <w:next w:val="Normal"/>
    <w:link w:val="Titre2Car"/>
    <w:autoRedefine/>
    <w:qFormat/>
    <w:rsid w:val="000332F3"/>
    <w:pPr>
      <w:keepNext/>
      <w:suppressAutoHyphens/>
      <w:spacing w:line="240" w:lineRule="auto"/>
      <w:jc w:val="center"/>
      <w:outlineLvl w:val="1"/>
    </w:pPr>
    <w:rPr>
      <w:rFonts w:ascii="Arial" w:eastAsia="Times New Roman" w:hAnsi="Arial" w:cs="Arial"/>
      <w:b/>
      <w:bCs/>
      <w:spacing w:val="-2"/>
      <w:sz w:val="28"/>
      <w:szCs w:val="28"/>
      <w:lang w:eastAsia="fr-FR"/>
    </w:rPr>
  </w:style>
  <w:style w:type="paragraph" w:styleId="Titre3">
    <w:name w:val="heading 3"/>
    <w:basedOn w:val="Normal"/>
    <w:next w:val="Normal"/>
    <w:link w:val="Titre3Car"/>
    <w:autoRedefine/>
    <w:qFormat/>
    <w:rsid w:val="000332F3"/>
    <w:pPr>
      <w:keepNext/>
      <w:spacing w:before="120" w:line="240" w:lineRule="auto"/>
      <w:jc w:val="both"/>
      <w:outlineLvl w:val="2"/>
    </w:pPr>
    <w:rPr>
      <w:rFonts w:ascii="Arial" w:eastAsia="Times New Roman" w:hAnsi="Arial" w:cs="Arial"/>
      <w:b/>
      <w:bCs/>
      <w:spacing w:val="-6"/>
      <w:sz w:val="24"/>
      <w:szCs w:val="24"/>
      <w:u w:val="single"/>
      <w:lang w:val="fr-FR" w:eastAsia="fr-FR"/>
    </w:rPr>
  </w:style>
  <w:style w:type="paragraph" w:styleId="Titre4">
    <w:name w:val="heading 4"/>
    <w:basedOn w:val="Normal"/>
    <w:next w:val="Normal"/>
    <w:link w:val="Titre4Car"/>
    <w:autoRedefine/>
    <w:qFormat/>
    <w:rsid w:val="00F72B1D"/>
    <w:pPr>
      <w:keepNext/>
      <w:tabs>
        <w:tab w:val="left" w:pos="900"/>
      </w:tabs>
      <w:spacing w:line="240" w:lineRule="auto"/>
      <w:jc w:val="both"/>
      <w:outlineLvl w:val="3"/>
    </w:pPr>
    <w:rPr>
      <w:rFonts w:ascii="Arial" w:eastAsia="Times New Roman" w:hAnsi="Arial" w:cs="Arial"/>
      <w:b/>
      <w:bCs/>
      <w:iCs/>
      <w:lang w:eastAsia="fr-FR"/>
    </w:rPr>
  </w:style>
  <w:style w:type="paragraph" w:styleId="Titre5">
    <w:name w:val="heading 5"/>
    <w:basedOn w:val="Normal"/>
    <w:next w:val="Normal"/>
    <w:link w:val="Titre5Car"/>
    <w:uiPriority w:val="9"/>
    <w:unhideWhenUsed/>
    <w:qFormat/>
    <w:rsid w:val="00C105D1"/>
    <w:pPr>
      <w:keepNext/>
      <w:keepLines/>
      <w:spacing w:before="40"/>
      <w:outlineLvl w:val="4"/>
    </w:pPr>
    <w:rPr>
      <w:rFonts w:ascii="Calibri" w:eastAsiaTheme="majorEastAsia" w:hAnsi="Calibri" w:cstheme="majorBidi"/>
      <w:b/>
      <w:sz w:val="24"/>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basedOn w:val="Policepardfaut"/>
    <w:link w:val="Titre4"/>
    <w:rsid w:val="00F72B1D"/>
    <w:rPr>
      <w:rFonts w:ascii="Arial" w:eastAsia="Times New Roman" w:hAnsi="Arial" w:cs="Arial"/>
      <w:b/>
      <w:bCs/>
      <w:iCs/>
      <w:lang w:eastAsia="fr-FR"/>
    </w:rPr>
  </w:style>
  <w:style w:type="paragraph" w:styleId="TM1">
    <w:name w:val="toc 1"/>
    <w:basedOn w:val="Normal"/>
    <w:next w:val="Normal"/>
    <w:autoRedefine/>
    <w:uiPriority w:val="39"/>
    <w:rsid w:val="005552DF"/>
    <w:pPr>
      <w:tabs>
        <w:tab w:val="left" w:pos="1540"/>
        <w:tab w:val="right" w:leader="dot" w:pos="9720"/>
      </w:tabs>
      <w:spacing w:before="240" w:line="240" w:lineRule="auto"/>
      <w:jc w:val="both"/>
    </w:pPr>
    <w:rPr>
      <w:rFonts w:ascii="Arial" w:eastAsia="Times New Roman" w:hAnsi="Arial" w:cs="Arial"/>
      <w:b/>
      <w:bCs/>
      <w:caps/>
      <w:lang w:val="fr-FR" w:eastAsia="fr-FR"/>
    </w:rPr>
  </w:style>
  <w:style w:type="paragraph" w:styleId="TM2">
    <w:name w:val="toc 2"/>
    <w:basedOn w:val="Normal"/>
    <w:next w:val="Normal"/>
    <w:autoRedefine/>
    <w:uiPriority w:val="39"/>
    <w:rsid w:val="005552DF"/>
    <w:pPr>
      <w:tabs>
        <w:tab w:val="right" w:leader="dot" w:pos="9720"/>
      </w:tabs>
      <w:spacing w:before="120" w:line="240" w:lineRule="auto"/>
      <w:jc w:val="both"/>
    </w:pPr>
    <w:rPr>
      <w:rFonts w:ascii="Arial" w:eastAsia="Times New Roman" w:hAnsi="Arial" w:cs="Times New Roman"/>
      <w:b/>
      <w:bCs/>
      <w:szCs w:val="20"/>
      <w:lang w:val="fr-FR" w:eastAsia="fr-FR"/>
    </w:rPr>
  </w:style>
  <w:style w:type="paragraph" w:styleId="TM3">
    <w:name w:val="toc 3"/>
    <w:basedOn w:val="Normal"/>
    <w:next w:val="Normal"/>
    <w:autoRedefine/>
    <w:uiPriority w:val="39"/>
    <w:rsid w:val="005552DF"/>
    <w:pPr>
      <w:tabs>
        <w:tab w:val="left" w:pos="1781"/>
        <w:tab w:val="right" w:leader="dot" w:pos="9720"/>
      </w:tabs>
      <w:spacing w:before="120" w:line="240" w:lineRule="auto"/>
      <w:ind w:left="221"/>
      <w:jc w:val="both"/>
    </w:pPr>
    <w:rPr>
      <w:rFonts w:ascii="Arial" w:eastAsia="Times New Roman" w:hAnsi="Arial" w:cs="Times New Roman"/>
      <w:szCs w:val="20"/>
      <w:lang w:val="fr-FR" w:eastAsia="fr-FR"/>
    </w:rPr>
  </w:style>
  <w:style w:type="paragraph" w:styleId="TM4">
    <w:name w:val="toc 4"/>
    <w:basedOn w:val="Normal"/>
    <w:next w:val="Normal"/>
    <w:autoRedefine/>
    <w:uiPriority w:val="39"/>
    <w:rsid w:val="005552DF"/>
    <w:pPr>
      <w:tabs>
        <w:tab w:val="left" w:pos="1260"/>
        <w:tab w:val="right" w:leader="dot" w:pos="9720"/>
      </w:tabs>
      <w:spacing w:line="240" w:lineRule="auto"/>
    </w:pPr>
    <w:rPr>
      <w:rFonts w:ascii="Arial" w:eastAsia="Times New Roman" w:hAnsi="Arial" w:cs="Times New Roman"/>
      <w:sz w:val="18"/>
      <w:szCs w:val="20"/>
      <w:lang w:val="fr-FR" w:eastAsia="fr-FR"/>
    </w:rPr>
  </w:style>
  <w:style w:type="character" w:customStyle="1" w:styleId="Titre1Car">
    <w:name w:val="Titre 1 Car"/>
    <w:basedOn w:val="Policepardfaut"/>
    <w:link w:val="Titre1"/>
    <w:rsid w:val="000332F3"/>
    <w:rPr>
      <w:rFonts w:ascii="Arial" w:eastAsia="Times New Roman" w:hAnsi="Arial" w:cs="Arial"/>
      <w:b/>
      <w:bCs/>
      <w:caps/>
      <w:kern w:val="32"/>
      <w:sz w:val="28"/>
      <w:szCs w:val="28"/>
      <w:lang w:val="fr-FR" w:eastAsia="fr-FR"/>
    </w:rPr>
  </w:style>
  <w:style w:type="character" w:customStyle="1" w:styleId="Titre2Car">
    <w:name w:val="Titre 2 Car"/>
    <w:basedOn w:val="Policepardfaut"/>
    <w:link w:val="Titre2"/>
    <w:rsid w:val="000332F3"/>
    <w:rPr>
      <w:rFonts w:ascii="Arial" w:eastAsia="Times New Roman" w:hAnsi="Arial" w:cs="Arial"/>
      <w:b/>
      <w:bCs/>
      <w:spacing w:val="-2"/>
      <w:sz w:val="28"/>
      <w:szCs w:val="28"/>
      <w:lang w:eastAsia="fr-FR"/>
    </w:rPr>
  </w:style>
  <w:style w:type="character" w:customStyle="1" w:styleId="Titre3Car">
    <w:name w:val="Titre 3 Car"/>
    <w:basedOn w:val="Policepardfaut"/>
    <w:link w:val="Titre3"/>
    <w:rsid w:val="000332F3"/>
    <w:rPr>
      <w:rFonts w:ascii="Arial" w:eastAsia="Times New Roman" w:hAnsi="Arial" w:cs="Arial"/>
      <w:b/>
      <w:bCs/>
      <w:spacing w:val="-6"/>
      <w:sz w:val="24"/>
      <w:szCs w:val="24"/>
      <w:u w:val="single"/>
      <w:lang w:val="fr-FR" w:eastAsia="fr-FR"/>
    </w:rPr>
  </w:style>
  <w:style w:type="character" w:customStyle="1" w:styleId="Titre5Car">
    <w:name w:val="Titre 5 Car"/>
    <w:basedOn w:val="Policepardfaut"/>
    <w:link w:val="Titre5"/>
    <w:uiPriority w:val="9"/>
    <w:rsid w:val="00C105D1"/>
    <w:rPr>
      <w:rFonts w:ascii="Calibri" w:eastAsiaTheme="majorEastAsia" w:hAnsi="Calibri" w:cstheme="majorBidi"/>
      <w:b/>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1394</Words>
  <Characters>7672</Characters>
  <Application>Microsoft Office Word</Application>
  <DocSecurity>0</DocSecurity>
  <Lines>63</Lines>
  <Paragraphs>18</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9048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TITEUX Jennifer</dc:creator>
  <cp:keywords/>
  <dc:description/>
  <cp:lastModifiedBy>TITEUX Jennifer</cp:lastModifiedBy>
  <cp:revision>1</cp:revision>
  <dcterms:created xsi:type="dcterms:W3CDTF">2019-06-28T10:03:00Z</dcterms:created>
  <dcterms:modified xsi:type="dcterms:W3CDTF">2019-06-28T10:03:00Z</dcterms:modified>
</cp:coreProperties>
</file>